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CC" w:rsidRDefault="00C67DCC" w:rsidP="00C67DCC">
      <w:pPr>
        <w:rPr>
          <w:lang w:val="en-US"/>
        </w:rPr>
      </w:pPr>
      <w:r>
        <w:rPr>
          <w:lang w:val="en-US"/>
        </w:rPr>
        <w:t>The associateship agreement typically contains the following elements: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A statement that defines the nature of the associateship relationship. Often, the statement will contain the phrase "independent contractor" if the associate is not a true employee of the practice. If the associate is responsible for paying their own taxes, the contract will usually require the associate to provide proof-of-payment to the host dentist so they cannot be held liable if the associate fails to pay their taxes.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obligations of the host dentist to provide necessary facilities, equipment, supplies and administrative support to the associate.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obligations of the associate dentist to maintain all licenses and memberships required to legally practise dentistry in the host's practice.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hours and days the associate is expected to work, and how annual holidays, vacations, maternity leave and other exceptions are to be handled.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description of how patients will be allocated to the associate, and the discretion of the host to request that the associate provide treatment to particular patients (i.e. emergency).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Obligations of the host dentist to market and promote the associate's presence in the practice for the purpose of establishing a suitable patient flow to the associate.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Obligations of the associate dentist to market and promote the host's practice for the purpose of maintaining suitable patient flow to the practice.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the associate will be compensated, when advances will be forwarded by the host, and how often accounts reconciliation occurs.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Obligations to both parties with respect to record keeping and reporting for the purpose of determining compensation.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Obligations of the host for billing and collecting for work performed by the associate.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of the associate to independently exercise their professional judgment when diagnosing patient treatment needs.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referrals of patients to other practitioners will be handled.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General provisions relating to the conduct and obligations of the associate, like dress code or abiding by management decisions. 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restrictive covenant, non-competition and confidential information clause that protects the host's ownership of the practice and patient base. 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right of the associate dentist to make an offer to purchase the host's practice if the host dentist chooses to sell.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the host or associate may terminate the associateship with cause (i.e. breach of contract by the other party).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the agreement may be terminated by either party without cause (i.e. three month notice).</w:t>
      </w:r>
    </w:p>
    <w:p w:rsidR="00C67DCC" w:rsidRDefault="00C67DCC" w:rsidP="00C67D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clause protecting each from professional liability in event of malpractice or poor treatment by the other party.</w:t>
      </w:r>
    </w:p>
    <w:p w:rsidR="00BD489B" w:rsidRDefault="00BD489B"/>
    <w:sectPr w:rsidR="00BD4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3DB"/>
    <w:multiLevelType w:val="hybridMultilevel"/>
    <w:tmpl w:val="DAC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CC"/>
    <w:rsid w:val="00BD489B"/>
    <w:rsid w:val="00C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2CBE4-4DEF-4775-989D-80FDA5D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D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O'Keefe</dc:creator>
  <cp:keywords/>
  <dc:description/>
  <cp:lastModifiedBy>John O'Keefe</cp:lastModifiedBy>
  <cp:revision>1</cp:revision>
  <dcterms:created xsi:type="dcterms:W3CDTF">2018-07-09T19:20:00Z</dcterms:created>
  <dcterms:modified xsi:type="dcterms:W3CDTF">2018-07-09T19:21:00Z</dcterms:modified>
</cp:coreProperties>
</file>